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C1772" w:rsidRDefault="002A20CC">
      <w:r>
        <w:rPr>
          <w:noProof/>
        </w:rPr>
        <w:drawing>
          <wp:inline distT="0" distB="0" distL="0" distR="0" wp14:anchorId="178E3829" wp14:editId="2DE684D8">
            <wp:extent cx="5486400" cy="3200400"/>
            <wp:effectExtent l="0" t="0" r="0" b="0"/>
            <wp:docPr id="732295277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2A20CC" w:rsidRDefault="002A20CC"/>
    <w:p w:rsidR="002A20CC" w:rsidRDefault="002A20CC">
      <w:r w:rsidRPr="00595C77">
        <w:rPr>
          <w:b/>
          <w:bCs/>
        </w:rPr>
        <w:t>Promoters</w:t>
      </w:r>
      <w:r>
        <w:t xml:space="preserve"> have both great interest in the effort and the power to help make it successful (or to derail it. </w:t>
      </w:r>
    </w:p>
    <w:p w:rsidR="002A20CC" w:rsidRDefault="002A20CC">
      <w:r w:rsidRPr="00595C77">
        <w:rPr>
          <w:b/>
          <w:bCs/>
        </w:rPr>
        <w:t>Defenders</w:t>
      </w:r>
      <w:r>
        <w:t xml:space="preserve"> have a vested interest and can voice their support in the community but have little actual power to influence the effort in any way. </w:t>
      </w:r>
    </w:p>
    <w:p w:rsidR="002A20CC" w:rsidRDefault="002A20CC">
      <w:proofErr w:type="spellStart"/>
      <w:r w:rsidRPr="00595C77">
        <w:rPr>
          <w:b/>
          <w:bCs/>
        </w:rPr>
        <w:t>Latents</w:t>
      </w:r>
      <w:proofErr w:type="spellEnd"/>
      <w:r w:rsidRPr="00595C77">
        <w:rPr>
          <w:b/>
          <w:bCs/>
        </w:rPr>
        <w:t xml:space="preserve"> </w:t>
      </w:r>
      <w:r>
        <w:t xml:space="preserve">have no particular interest or involvement in the </w:t>
      </w:r>
      <w:proofErr w:type="gramStart"/>
      <w:r>
        <w:t>effort, but</w:t>
      </w:r>
      <w:proofErr w:type="gramEnd"/>
      <w:r>
        <w:t xml:space="preserve"> have the power to influence it greatly if they become interested. </w:t>
      </w:r>
    </w:p>
    <w:p w:rsidR="002A20CC" w:rsidRDefault="002A20CC">
      <w:proofErr w:type="spellStart"/>
      <w:r w:rsidRPr="00595C77">
        <w:rPr>
          <w:b/>
          <w:bCs/>
        </w:rPr>
        <w:t>Apathetics</w:t>
      </w:r>
      <w:proofErr w:type="spellEnd"/>
      <w:r>
        <w:t xml:space="preserve"> have little interest and little power, and may not even know the effort </w:t>
      </w:r>
      <w:proofErr w:type="gramStart"/>
      <w:r>
        <w:t>exists</w:t>
      </w:r>
      <w:proofErr w:type="gramEnd"/>
    </w:p>
    <w:p w:rsidR="00F91814" w:rsidRDefault="00572E16">
      <w:hyperlink r:id="rId9" w:history="1">
        <w:r w:rsidR="00F91814" w:rsidRPr="00F91814">
          <w:rPr>
            <w:color w:val="0000FF"/>
            <w:u w:val="single"/>
          </w:rPr>
          <w:t xml:space="preserve">Chapter 7. Encouraging Involvement in Community Work | Section 8. Identifying and Analyzing Stakeholders and Their Interests | Main Section | Community </w:t>
        </w:r>
        <w:proofErr w:type="gramStart"/>
        <w:r w:rsidR="00F91814" w:rsidRPr="00F91814">
          <w:rPr>
            <w:color w:val="0000FF"/>
            <w:u w:val="single"/>
          </w:rPr>
          <w:t>Tool Box</w:t>
        </w:r>
        <w:proofErr w:type="gramEnd"/>
        <w:r w:rsidR="00F91814" w:rsidRPr="00F91814">
          <w:rPr>
            <w:color w:val="0000FF"/>
            <w:u w:val="single"/>
          </w:rPr>
          <w:t xml:space="preserve"> (ku.edu)</w:t>
        </w:r>
      </w:hyperlink>
      <w:r w:rsidR="00F91814">
        <w:t xml:space="preserve"> </w:t>
      </w:r>
    </w:p>
    <w:p w:rsidR="002A20CC" w:rsidRDefault="00F91814">
      <w:r>
        <w:t>Retrieved May 23</w:t>
      </w:r>
      <w:r w:rsidR="00356C70">
        <w:t>, 2024</w:t>
      </w:r>
    </w:p>
    <w:p w:rsidR="002A20CC" w:rsidRDefault="002A20CC">
      <w:r>
        <w:rPr>
          <w:noProof/>
        </w:rPr>
        <w:drawing>
          <wp:inline distT="0" distB="0" distL="0" distR="0" wp14:anchorId="6A9A7EE3" wp14:editId="33E95D6A">
            <wp:extent cx="5696023" cy="4343218"/>
            <wp:effectExtent l="0" t="0" r="0" b="635"/>
            <wp:docPr id="7488820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822" cy="435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20CC" w:rsidRDefault="002A20CC"/>
    <w:p w:rsidR="002A20CC" w:rsidRDefault="00572E16">
      <w:hyperlink r:id="rId11" w:history="1">
        <w:r w:rsidR="002A20CC" w:rsidRPr="00E67D9D">
          <w:rPr>
            <w:rStyle w:val="Hyperlink"/>
          </w:rPr>
          <w:t>https://www.forbes.com/advisor/business/what-is-stakeholder-analysis/</w:t>
        </w:r>
      </w:hyperlink>
      <w:r w:rsidR="002A20CC">
        <w:t xml:space="preserve"> Retrieved May 23</w:t>
      </w:r>
      <w:proofErr w:type="gramStart"/>
      <w:r w:rsidR="002A20CC">
        <w:t xml:space="preserve"> 2024</w:t>
      </w:r>
      <w:proofErr w:type="gramEnd"/>
    </w:p>
    <w:sectPr w:rsidR="002A2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CC"/>
    <w:rsid w:val="00297C14"/>
    <w:rsid w:val="002A20CC"/>
    <w:rsid w:val="00356C70"/>
    <w:rsid w:val="00595C77"/>
    <w:rsid w:val="007C1772"/>
    <w:rsid w:val="00823CB6"/>
    <w:rsid w:val="008E5C0C"/>
    <w:rsid w:val="00F9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B7A47"/>
  <w15:chartTrackingRefBased/>
  <w15:docId w15:val="{F57202A7-87AA-4DE3-939E-BFC5F419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20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20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20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20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20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20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20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20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20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0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20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20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20C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20C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20C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20C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20C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20C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A20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20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20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20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A20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A20C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A20C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A20C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20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20C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A20C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A20C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hyperlink" Target="https://www.forbes.com/advisor/business/what-is-stakeholder-analysis/" TargetMode="External"/><Relationship Id="rId5" Type="http://schemas.openxmlformats.org/officeDocument/2006/relationships/diagramLayout" Target="diagrams/layout1.xml"/><Relationship Id="rId10" Type="http://schemas.openxmlformats.org/officeDocument/2006/relationships/image" Target="media/image1.png"/><Relationship Id="rId4" Type="http://schemas.openxmlformats.org/officeDocument/2006/relationships/diagramData" Target="diagrams/data1.xml"/><Relationship Id="rId9" Type="http://schemas.openxmlformats.org/officeDocument/2006/relationships/hyperlink" Target="https://ctb.ku.edu/en/table-of-contents/participation/encouraging-involvement/identify-stakeholders/main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C7F460-9B8A-42B1-B0B0-DAF5BFE7E494}" type="doc">
      <dgm:prSet loTypeId="urn:microsoft.com/office/officeart/2005/8/layout/matrix2" loCatId="matrix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7EFA85DA-AC93-4698-B473-95496456E8AD}">
      <dgm:prSet phldrT="[Text]"/>
      <dgm:spPr/>
      <dgm:t>
        <a:bodyPr/>
        <a:lstStyle/>
        <a:p>
          <a:r>
            <a:rPr lang="en-US"/>
            <a:t>High influence, low interest</a:t>
          </a:r>
        </a:p>
        <a:p>
          <a:r>
            <a:rPr lang="en-US"/>
            <a:t>(Latents)</a:t>
          </a:r>
        </a:p>
      </dgm:t>
    </dgm:pt>
    <dgm:pt modelId="{12A5B46A-B393-46A1-AE63-6E926ED4111E}" type="parTrans" cxnId="{8B1BA31E-BCA7-4989-A4F6-B191954E6DFE}">
      <dgm:prSet/>
      <dgm:spPr/>
      <dgm:t>
        <a:bodyPr/>
        <a:lstStyle/>
        <a:p>
          <a:endParaRPr lang="en-US"/>
        </a:p>
      </dgm:t>
    </dgm:pt>
    <dgm:pt modelId="{490A678C-32A1-40F9-9E6E-10879B3E3931}" type="sibTrans" cxnId="{8B1BA31E-BCA7-4989-A4F6-B191954E6DFE}">
      <dgm:prSet/>
      <dgm:spPr/>
      <dgm:t>
        <a:bodyPr/>
        <a:lstStyle/>
        <a:p>
          <a:endParaRPr lang="en-US"/>
        </a:p>
      </dgm:t>
    </dgm:pt>
    <dgm:pt modelId="{38E5886F-7B1B-4ABC-8213-8DDC1990AAC1}">
      <dgm:prSet phldrT="[Text]"/>
      <dgm:spPr/>
      <dgm:t>
        <a:bodyPr/>
        <a:lstStyle/>
        <a:p>
          <a:r>
            <a:rPr lang="en-US"/>
            <a:t>High influence, high interest</a:t>
          </a:r>
        </a:p>
        <a:p>
          <a:r>
            <a:rPr lang="en-US"/>
            <a:t>(Promotors)</a:t>
          </a:r>
        </a:p>
      </dgm:t>
    </dgm:pt>
    <dgm:pt modelId="{ED8BAB74-D1DE-4E34-8DD7-ED5FBAEFAB70}" type="parTrans" cxnId="{E6F36896-7CA1-4E13-A829-2142F9516502}">
      <dgm:prSet/>
      <dgm:spPr/>
      <dgm:t>
        <a:bodyPr/>
        <a:lstStyle/>
        <a:p>
          <a:endParaRPr lang="en-US"/>
        </a:p>
      </dgm:t>
    </dgm:pt>
    <dgm:pt modelId="{55DC18BC-7CD6-48C3-BACD-25C87202497E}" type="sibTrans" cxnId="{E6F36896-7CA1-4E13-A829-2142F9516502}">
      <dgm:prSet/>
      <dgm:spPr/>
      <dgm:t>
        <a:bodyPr/>
        <a:lstStyle/>
        <a:p>
          <a:endParaRPr lang="en-US"/>
        </a:p>
      </dgm:t>
    </dgm:pt>
    <dgm:pt modelId="{2529E2E4-0883-4791-87F4-96668E13016D}">
      <dgm:prSet phldrT="[Text]"/>
      <dgm:spPr/>
      <dgm:t>
        <a:bodyPr/>
        <a:lstStyle/>
        <a:p>
          <a:r>
            <a:rPr lang="en-US"/>
            <a:t>Low influence, high interest</a:t>
          </a:r>
        </a:p>
        <a:p>
          <a:r>
            <a:rPr lang="en-US"/>
            <a:t>(Defenders)</a:t>
          </a:r>
        </a:p>
      </dgm:t>
    </dgm:pt>
    <dgm:pt modelId="{A0CB7AD7-851C-4A09-8465-2B5F5DB10FB4}" type="parTrans" cxnId="{86B1CD3B-B370-43CD-8F5D-C6DE910A6694}">
      <dgm:prSet/>
      <dgm:spPr/>
      <dgm:t>
        <a:bodyPr/>
        <a:lstStyle/>
        <a:p>
          <a:endParaRPr lang="en-US"/>
        </a:p>
      </dgm:t>
    </dgm:pt>
    <dgm:pt modelId="{D68530FD-76F6-45CA-B963-65E9D7392FC8}" type="sibTrans" cxnId="{86B1CD3B-B370-43CD-8F5D-C6DE910A6694}">
      <dgm:prSet/>
      <dgm:spPr/>
      <dgm:t>
        <a:bodyPr/>
        <a:lstStyle/>
        <a:p>
          <a:endParaRPr lang="en-US"/>
        </a:p>
      </dgm:t>
    </dgm:pt>
    <dgm:pt modelId="{15920A3A-EA30-4D9B-AF45-36C7B31C2FCB}">
      <dgm:prSet phldrT="[Text]" phldr="1"/>
      <dgm:spPr/>
      <dgm:t>
        <a:bodyPr/>
        <a:lstStyle/>
        <a:p>
          <a:endParaRPr lang="en-US"/>
        </a:p>
      </dgm:t>
    </dgm:pt>
    <dgm:pt modelId="{94DE3E59-E94F-4E22-B07E-BB83A12D83C4}" type="parTrans" cxnId="{E8E3B291-B8F7-4AAB-A797-C4D0D46A7F19}">
      <dgm:prSet/>
      <dgm:spPr/>
      <dgm:t>
        <a:bodyPr/>
        <a:lstStyle/>
        <a:p>
          <a:endParaRPr lang="en-US"/>
        </a:p>
      </dgm:t>
    </dgm:pt>
    <dgm:pt modelId="{FF6103B8-D8BD-49FB-8F58-C8AB91BA433A}" type="sibTrans" cxnId="{E8E3B291-B8F7-4AAB-A797-C4D0D46A7F19}">
      <dgm:prSet/>
      <dgm:spPr/>
      <dgm:t>
        <a:bodyPr/>
        <a:lstStyle/>
        <a:p>
          <a:endParaRPr lang="en-US"/>
        </a:p>
      </dgm:t>
    </dgm:pt>
    <dgm:pt modelId="{1CF0FAE3-1E16-4801-9F7C-507D0EC7E5EA}">
      <dgm:prSet/>
      <dgm:spPr/>
      <dgm:t>
        <a:bodyPr/>
        <a:lstStyle/>
        <a:p>
          <a:r>
            <a:rPr lang="en-US"/>
            <a:t>Low influence, low interest</a:t>
          </a:r>
        </a:p>
        <a:p>
          <a:r>
            <a:rPr lang="en-US"/>
            <a:t>(Apathetics)</a:t>
          </a:r>
        </a:p>
      </dgm:t>
    </dgm:pt>
    <dgm:pt modelId="{5E425628-34AB-4F0D-8D6B-551A5964B478}" type="parTrans" cxnId="{53547D53-A172-448F-AA49-70CA2A43B84E}">
      <dgm:prSet/>
      <dgm:spPr/>
      <dgm:t>
        <a:bodyPr/>
        <a:lstStyle/>
        <a:p>
          <a:endParaRPr lang="en-US"/>
        </a:p>
      </dgm:t>
    </dgm:pt>
    <dgm:pt modelId="{A2CD50CE-1D78-4DFD-85F2-67B06DC74AC9}" type="sibTrans" cxnId="{53547D53-A172-448F-AA49-70CA2A43B84E}">
      <dgm:prSet/>
      <dgm:spPr/>
      <dgm:t>
        <a:bodyPr/>
        <a:lstStyle/>
        <a:p>
          <a:endParaRPr lang="en-US"/>
        </a:p>
      </dgm:t>
    </dgm:pt>
    <dgm:pt modelId="{8B6857E6-5201-4A07-BA84-460D4ED693D6}" type="pres">
      <dgm:prSet presAssocID="{9FC7F460-9B8A-42B1-B0B0-DAF5BFE7E494}" presName="matrix" presStyleCnt="0">
        <dgm:presLayoutVars>
          <dgm:chMax val="1"/>
          <dgm:dir/>
          <dgm:resizeHandles val="exact"/>
        </dgm:presLayoutVars>
      </dgm:prSet>
      <dgm:spPr/>
    </dgm:pt>
    <dgm:pt modelId="{38A0AAF6-B744-46B5-A79D-20AC5AF5720C}" type="pres">
      <dgm:prSet presAssocID="{9FC7F460-9B8A-42B1-B0B0-DAF5BFE7E494}" presName="axisShape" presStyleLbl="bgShp" presStyleIdx="0" presStyleCnt="1"/>
      <dgm:spPr/>
    </dgm:pt>
    <dgm:pt modelId="{1E0AC61C-D70F-4C38-BE97-AD415F26D6AD}" type="pres">
      <dgm:prSet presAssocID="{9FC7F460-9B8A-42B1-B0B0-DAF5BFE7E494}" presName="rect1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989124AB-DE8A-4428-A25D-0D560C7BBE61}" type="pres">
      <dgm:prSet presAssocID="{9FC7F460-9B8A-42B1-B0B0-DAF5BFE7E494}" presName="rect2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77CF54F8-3E79-49A4-A4BD-2C55FC42A797}" type="pres">
      <dgm:prSet presAssocID="{9FC7F460-9B8A-42B1-B0B0-DAF5BFE7E494}" presName="rect3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50457999-BCFB-46D8-A21D-FE984DC1C348}" type="pres">
      <dgm:prSet presAssocID="{9FC7F460-9B8A-42B1-B0B0-DAF5BFE7E494}" presName="rect4" presStyleLbl="node1" presStyleIdx="3" presStyleCnt="4">
        <dgm:presLayoutVars>
          <dgm:chMax val="0"/>
          <dgm:chPref val="0"/>
          <dgm:bulletEnabled val="1"/>
        </dgm:presLayoutVars>
      </dgm:prSet>
      <dgm:spPr/>
    </dgm:pt>
  </dgm:ptLst>
  <dgm:cxnLst>
    <dgm:cxn modelId="{8B1BA31E-BCA7-4989-A4F6-B191954E6DFE}" srcId="{9FC7F460-9B8A-42B1-B0B0-DAF5BFE7E494}" destId="{7EFA85DA-AC93-4698-B473-95496456E8AD}" srcOrd="0" destOrd="0" parTransId="{12A5B46A-B393-46A1-AE63-6E926ED4111E}" sibTransId="{490A678C-32A1-40F9-9E6E-10879B3E3931}"/>
    <dgm:cxn modelId="{1AC4E21E-366B-44B7-BC6C-0BA850A07A1B}" type="presOf" srcId="{7EFA85DA-AC93-4698-B473-95496456E8AD}" destId="{1E0AC61C-D70F-4C38-BE97-AD415F26D6AD}" srcOrd="0" destOrd="0" presId="urn:microsoft.com/office/officeart/2005/8/layout/matrix2"/>
    <dgm:cxn modelId="{86B1CD3B-B370-43CD-8F5D-C6DE910A6694}" srcId="{9FC7F460-9B8A-42B1-B0B0-DAF5BFE7E494}" destId="{2529E2E4-0883-4791-87F4-96668E13016D}" srcOrd="3" destOrd="0" parTransId="{A0CB7AD7-851C-4A09-8465-2B5F5DB10FB4}" sibTransId="{D68530FD-76F6-45CA-B963-65E9D7392FC8}"/>
    <dgm:cxn modelId="{DD825F71-796C-446B-B064-02A5D1D8D37C}" type="presOf" srcId="{9FC7F460-9B8A-42B1-B0B0-DAF5BFE7E494}" destId="{8B6857E6-5201-4A07-BA84-460D4ED693D6}" srcOrd="0" destOrd="0" presId="urn:microsoft.com/office/officeart/2005/8/layout/matrix2"/>
    <dgm:cxn modelId="{53547D53-A172-448F-AA49-70CA2A43B84E}" srcId="{9FC7F460-9B8A-42B1-B0B0-DAF5BFE7E494}" destId="{1CF0FAE3-1E16-4801-9F7C-507D0EC7E5EA}" srcOrd="2" destOrd="0" parTransId="{5E425628-34AB-4F0D-8D6B-551A5964B478}" sibTransId="{A2CD50CE-1D78-4DFD-85F2-67B06DC74AC9}"/>
    <dgm:cxn modelId="{E8E3B291-B8F7-4AAB-A797-C4D0D46A7F19}" srcId="{9FC7F460-9B8A-42B1-B0B0-DAF5BFE7E494}" destId="{15920A3A-EA30-4D9B-AF45-36C7B31C2FCB}" srcOrd="4" destOrd="0" parTransId="{94DE3E59-E94F-4E22-B07E-BB83A12D83C4}" sibTransId="{FF6103B8-D8BD-49FB-8F58-C8AB91BA433A}"/>
    <dgm:cxn modelId="{E6F36896-7CA1-4E13-A829-2142F9516502}" srcId="{9FC7F460-9B8A-42B1-B0B0-DAF5BFE7E494}" destId="{38E5886F-7B1B-4ABC-8213-8DDC1990AAC1}" srcOrd="1" destOrd="0" parTransId="{ED8BAB74-D1DE-4E34-8DD7-ED5FBAEFAB70}" sibTransId="{55DC18BC-7CD6-48C3-BACD-25C87202497E}"/>
    <dgm:cxn modelId="{73B32DA0-33D2-447E-B475-8C7463FD614D}" type="presOf" srcId="{2529E2E4-0883-4791-87F4-96668E13016D}" destId="{50457999-BCFB-46D8-A21D-FE984DC1C348}" srcOrd="0" destOrd="0" presId="urn:microsoft.com/office/officeart/2005/8/layout/matrix2"/>
    <dgm:cxn modelId="{9B3C9DC1-D76C-4B38-A045-F716216EC35C}" type="presOf" srcId="{38E5886F-7B1B-4ABC-8213-8DDC1990AAC1}" destId="{989124AB-DE8A-4428-A25D-0D560C7BBE61}" srcOrd="0" destOrd="0" presId="urn:microsoft.com/office/officeart/2005/8/layout/matrix2"/>
    <dgm:cxn modelId="{ABBC71DC-3489-41B9-A324-4DB916295113}" type="presOf" srcId="{1CF0FAE3-1E16-4801-9F7C-507D0EC7E5EA}" destId="{77CF54F8-3E79-49A4-A4BD-2C55FC42A797}" srcOrd="0" destOrd="0" presId="urn:microsoft.com/office/officeart/2005/8/layout/matrix2"/>
    <dgm:cxn modelId="{8873B5C8-228B-4B2F-BF50-24A33C119708}" type="presParOf" srcId="{8B6857E6-5201-4A07-BA84-460D4ED693D6}" destId="{38A0AAF6-B744-46B5-A79D-20AC5AF5720C}" srcOrd="0" destOrd="0" presId="urn:microsoft.com/office/officeart/2005/8/layout/matrix2"/>
    <dgm:cxn modelId="{8A9F0631-003B-4C52-A74D-BF5AA56FC8D6}" type="presParOf" srcId="{8B6857E6-5201-4A07-BA84-460D4ED693D6}" destId="{1E0AC61C-D70F-4C38-BE97-AD415F26D6AD}" srcOrd="1" destOrd="0" presId="urn:microsoft.com/office/officeart/2005/8/layout/matrix2"/>
    <dgm:cxn modelId="{F8B38EA5-4E5E-4AAB-A763-FC66133B0DC0}" type="presParOf" srcId="{8B6857E6-5201-4A07-BA84-460D4ED693D6}" destId="{989124AB-DE8A-4428-A25D-0D560C7BBE61}" srcOrd="2" destOrd="0" presId="urn:microsoft.com/office/officeart/2005/8/layout/matrix2"/>
    <dgm:cxn modelId="{F89E263F-0DB3-4D35-941F-66191CCBB906}" type="presParOf" srcId="{8B6857E6-5201-4A07-BA84-460D4ED693D6}" destId="{77CF54F8-3E79-49A4-A4BD-2C55FC42A797}" srcOrd="3" destOrd="0" presId="urn:microsoft.com/office/officeart/2005/8/layout/matrix2"/>
    <dgm:cxn modelId="{F3F7D577-B0BF-43EC-8DFA-417AF54D55DC}" type="presParOf" srcId="{8B6857E6-5201-4A07-BA84-460D4ED693D6}" destId="{50457999-BCFB-46D8-A21D-FE984DC1C348}" srcOrd="4" destOrd="0" presId="urn:microsoft.com/office/officeart/2005/8/layout/matrix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A0AAF6-B744-46B5-A79D-20AC5AF5720C}">
      <dsp:nvSpPr>
        <dsp:cNvPr id="0" name=""/>
        <dsp:cNvSpPr/>
      </dsp:nvSpPr>
      <dsp:spPr>
        <a:xfrm>
          <a:off x="1143000" y="0"/>
          <a:ext cx="3200400" cy="3200400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E0AC61C-D70F-4C38-BE97-AD415F26D6AD}">
      <dsp:nvSpPr>
        <dsp:cNvPr id="0" name=""/>
        <dsp:cNvSpPr/>
      </dsp:nvSpPr>
      <dsp:spPr>
        <a:xfrm>
          <a:off x="1351026" y="208026"/>
          <a:ext cx="1280160" cy="128016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High influence, low interest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(Latents)</a:t>
          </a:r>
        </a:p>
      </dsp:txBody>
      <dsp:txXfrm>
        <a:off x="1413518" y="270518"/>
        <a:ext cx="1155176" cy="1155176"/>
      </dsp:txXfrm>
    </dsp:sp>
    <dsp:sp modelId="{989124AB-DE8A-4428-A25D-0D560C7BBE61}">
      <dsp:nvSpPr>
        <dsp:cNvPr id="0" name=""/>
        <dsp:cNvSpPr/>
      </dsp:nvSpPr>
      <dsp:spPr>
        <a:xfrm>
          <a:off x="2855214" y="208026"/>
          <a:ext cx="1280160" cy="128016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High influence, high interest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(Promotors)</a:t>
          </a:r>
        </a:p>
      </dsp:txBody>
      <dsp:txXfrm>
        <a:off x="2917706" y="270518"/>
        <a:ext cx="1155176" cy="1155176"/>
      </dsp:txXfrm>
    </dsp:sp>
    <dsp:sp modelId="{77CF54F8-3E79-49A4-A4BD-2C55FC42A797}">
      <dsp:nvSpPr>
        <dsp:cNvPr id="0" name=""/>
        <dsp:cNvSpPr/>
      </dsp:nvSpPr>
      <dsp:spPr>
        <a:xfrm>
          <a:off x="1351026" y="1712214"/>
          <a:ext cx="1280160" cy="128016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Low influence, low interest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(Apathetics)</a:t>
          </a:r>
        </a:p>
      </dsp:txBody>
      <dsp:txXfrm>
        <a:off x="1413518" y="1774706"/>
        <a:ext cx="1155176" cy="1155176"/>
      </dsp:txXfrm>
    </dsp:sp>
    <dsp:sp modelId="{50457999-BCFB-46D8-A21D-FE984DC1C348}">
      <dsp:nvSpPr>
        <dsp:cNvPr id="0" name=""/>
        <dsp:cNvSpPr/>
      </dsp:nvSpPr>
      <dsp:spPr>
        <a:xfrm>
          <a:off x="2855214" y="1712214"/>
          <a:ext cx="1280160" cy="128016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Low influence, high interest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(Defenders)</a:t>
          </a:r>
        </a:p>
      </dsp:txBody>
      <dsp:txXfrm>
        <a:off x="2917706" y="1774706"/>
        <a:ext cx="1155176" cy="11551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McGraw</dc:creator>
  <cp:keywords/>
  <dc:description/>
  <cp:lastModifiedBy>Kristin Spencer</cp:lastModifiedBy>
  <cp:revision>1</cp:revision>
  <dcterms:created xsi:type="dcterms:W3CDTF">2024-05-30T19:35:00Z</dcterms:created>
  <dcterms:modified xsi:type="dcterms:W3CDTF">2024-05-30T19:35:00Z</dcterms:modified>
</cp:coreProperties>
</file>